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4"/>
        <w:gridCol w:w="4528"/>
      </w:tblGrid>
      <w:tr w:rsidR="001D651B" w14:paraId="73A68380" w14:textId="77777777" w:rsidTr="00856800">
        <w:tc>
          <w:tcPr>
            <w:tcW w:w="4606" w:type="dxa"/>
          </w:tcPr>
          <w:p w14:paraId="35297942" w14:textId="77777777" w:rsidR="00E6621A" w:rsidRDefault="00317A76" w:rsidP="00856800">
            <w:r>
              <w:rPr>
                <w:noProof/>
                <w:lang w:eastAsia="nl-BE"/>
              </w:rPr>
              <w:drawing>
                <wp:inline distT="0" distB="0" distL="0" distR="0" wp14:anchorId="1AD938B2" wp14:editId="1A60D07E">
                  <wp:extent cx="1216025" cy="1887220"/>
                  <wp:effectExtent l="0" t="0" r="317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dZottegem-Logo-01-CS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6025" cy="1887220"/>
                          </a:xfrm>
                          <a:prstGeom prst="rect">
                            <a:avLst/>
                          </a:prstGeom>
                        </pic:spPr>
                      </pic:pic>
                    </a:graphicData>
                  </a:graphic>
                </wp:inline>
              </w:drawing>
            </w:r>
          </w:p>
        </w:tc>
        <w:tc>
          <w:tcPr>
            <w:tcW w:w="4606" w:type="dxa"/>
          </w:tcPr>
          <w:p w14:paraId="131DB85D" w14:textId="77777777" w:rsidR="00E6621A" w:rsidRDefault="00E6621A" w:rsidP="00856800">
            <w:pPr>
              <w:spacing w:before="120"/>
              <w:jc w:val="center"/>
              <w:rPr>
                <w:b/>
              </w:rPr>
            </w:pPr>
          </w:p>
          <w:p w14:paraId="76368406" w14:textId="77777777" w:rsidR="00E6621A" w:rsidRDefault="00317A76" w:rsidP="00856800">
            <w:pPr>
              <w:spacing w:before="120"/>
              <w:jc w:val="center"/>
              <w:rPr>
                <w:b/>
              </w:rPr>
            </w:pPr>
            <w:r>
              <w:rPr>
                <w:b/>
              </w:rPr>
              <w:t>Uittreksel</w:t>
            </w:r>
          </w:p>
          <w:p w14:paraId="2473DBE2" w14:textId="77777777" w:rsidR="00E6621A" w:rsidRDefault="00317A76" w:rsidP="00856800">
            <w:pPr>
              <w:spacing w:before="120"/>
              <w:jc w:val="center"/>
              <w:rPr>
                <w:b/>
              </w:rPr>
            </w:pPr>
            <w:r>
              <w:rPr>
                <w:b/>
              </w:rPr>
              <w:t>uit de notulen van de Gemeenteraad</w:t>
            </w:r>
          </w:p>
          <w:p w14:paraId="0BC730C4" w14:textId="77777777" w:rsidR="00E6621A" w:rsidRDefault="00317A76" w:rsidP="00856800">
            <w:pPr>
              <w:jc w:val="center"/>
            </w:pPr>
            <w:r>
              <w:rPr>
                <w:b/>
              </w:rPr>
              <w:t>20 december 2021</w:t>
            </w:r>
          </w:p>
        </w:tc>
      </w:tr>
    </w:tbl>
    <w:p w14:paraId="560FBD76" w14:textId="77777777" w:rsidR="006E07C3" w:rsidRDefault="006E07C3" w:rsidP="00984BB2">
      <w:pPr>
        <w:spacing w:after="120"/>
        <w:rPr>
          <w:b/>
          <w:u w:val="single"/>
        </w:rPr>
      </w:pPr>
    </w:p>
    <w:p w14:paraId="34E42A5D" w14:textId="77777777" w:rsidR="00984BB2" w:rsidRPr="00526BA6" w:rsidRDefault="00317A76" w:rsidP="00984BB2">
      <w:pPr>
        <w:spacing w:after="120"/>
        <w:rPr>
          <w:b/>
        </w:rPr>
      </w:pPr>
      <w:r w:rsidRPr="00526BA6">
        <w:rPr>
          <w:b/>
          <w:u w:val="single"/>
        </w:rPr>
        <w:t>Aanwezig</w:t>
      </w:r>
      <w:r w:rsidRPr="00526BA6">
        <w:rPr>
          <w:b/>
        </w:rPr>
        <w:t>:</w:t>
      </w:r>
    </w:p>
    <w:p w14:paraId="303A0B1A" w14:textId="77777777" w:rsidR="00984BB2" w:rsidRDefault="00317A76" w:rsidP="00984BB2">
      <w:pPr>
        <w:rPr>
          <w:noProof/>
        </w:rPr>
      </w:pPr>
      <w:r>
        <w:rPr>
          <w:noProof/>
        </w:rPr>
        <w:t>Peter Lagaert, voorzitter,</w:t>
      </w:r>
      <w:r>
        <w:rPr>
          <w:noProof/>
        </w:rPr>
        <w:br/>
        <w:t>Jenne De Potter, burgemeester,</w:t>
      </w:r>
      <w:r>
        <w:rPr>
          <w:noProof/>
        </w:rPr>
        <w:br/>
        <w:t>Evelien De Both, Leen Goossens, Lieselotte De Roover, Evert De Smet, Brecht Cassiman, schepenen,</w:t>
      </w:r>
      <w:r>
        <w:rPr>
          <w:noProof/>
        </w:rPr>
        <w:br/>
        <w:t>Peter Vansintjan, schepen van rechtswege,</w:t>
      </w:r>
      <w:r>
        <w:rPr>
          <w:noProof/>
        </w:rPr>
        <w:br/>
        <w:t>Paul Lievens, Joost Franceus, Nadine Stalpaert, Matthias Diependaele, Peter Roman, Cyntia Braems, Ann De Smet, Cynthia Van den Steen, Heidi Schuddinck, Dirk Minnaert, Kurt De Loor, Lode Bruneel, Louie Van Rijsselberge, Sven Mornie, Yana Giovanis, Marnic De Clercq, Karel Busschop, Filip Morre, Benjamin Boone, Samuel Paul, raadsleden,</w:t>
      </w:r>
      <w:r>
        <w:rPr>
          <w:noProof/>
        </w:rPr>
        <w:br/>
        <w:t>Koen Codron, algemeen directeur</w:t>
      </w:r>
    </w:p>
    <w:p w14:paraId="3DC8ABB4" w14:textId="77777777" w:rsidR="009C7194" w:rsidRDefault="00317A76" w:rsidP="009C7194">
      <w:pPr>
        <w:spacing w:after="120"/>
        <w:rPr>
          <w:noProof/>
        </w:rPr>
      </w:pPr>
      <w:r w:rsidRPr="009C7194">
        <w:rPr>
          <w:b/>
          <w:u w:val="single"/>
        </w:rPr>
        <w:t>Verontschuldigd</w:t>
      </w:r>
      <w:r>
        <w:rPr>
          <w:noProof/>
        </w:rPr>
        <w:t>:</w:t>
      </w:r>
    </w:p>
    <w:p w14:paraId="566FE843" w14:textId="77777777" w:rsidR="009C7194" w:rsidRDefault="00317A76" w:rsidP="009C7194">
      <w:r>
        <w:t>Jan De Maesschalck, raadslid</w:t>
      </w:r>
    </w:p>
    <w:p w14:paraId="2F9663C9" w14:textId="77777777" w:rsidR="00984BB2" w:rsidRDefault="00317A76" w:rsidP="00984BB2">
      <w:pPr>
        <w:spacing w:before="120"/>
        <w:jc w:val="center"/>
      </w:pPr>
      <w:r>
        <w:t>__________________________________________</w:t>
      </w:r>
    </w:p>
    <w:p w14:paraId="377EE9DD" w14:textId="77777777" w:rsidR="00984BB2" w:rsidRPr="0014584B" w:rsidRDefault="00317A76" w:rsidP="00984BB2">
      <w:pPr>
        <w:spacing w:after="120"/>
        <w:rPr>
          <w:rFonts w:ascii="Hind" w:hAnsi="Hind" w:cs="Hind"/>
          <w:b/>
          <w:u w:val="single"/>
        </w:rPr>
      </w:pPr>
      <w:r w:rsidRPr="0014584B">
        <w:rPr>
          <w:rFonts w:ascii="Hind" w:hAnsi="Hind" w:cs="Hind"/>
          <w:b/>
          <w:u w:val="single"/>
        </w:rPr>
        <w:t>24. Goedkeuring reglement betreffende nachtwinkels, privaat bureaus voor telecommunicatie, en automatenshops</w:t>
      </w:r>
    </w:p>
    <w:p w14:paraId="1ADEA6F1" w14:textId="77777777" w:rsidR="00984BB2" w:rsidRDefault="00317A76" w:rsidP="00984BB2">
      <w:pPr>
        <w:pStyle w:val="Cobra-rubrieken"/>
      </w:pPr>
      <w:r>
        <w:t>Bevoegd</w:t>
      </w:r>
    </w:p>
    <w:p w14:paraId="6AB7355A" w14:textId="77777777" w:rsidR="00984BB2" w:rsidRPr="00E54509" w:rsidRDefault="00317A76" w:rsidP="00984BB2">
      <w:pPr>
        <w:spacing w:after="120"/>
      </w:pPr>
      <w:r w:rsidRPr="00E54509">
        <w:rPr>
          <w:noProof/>
        </w:rPr>
        <w:t>Jenne De Potter</w:t>
      </w:r>
    </w:p>
    <w:p w14:paraId="1186BAAE" w14:textId="77777777" w:rsidR="001D651B" w:rsidRDefault="001D651B">
      <w:pPr>
        <w:sectPr w:rsidR="001D651B">
          <w:pgSz w:w="11906" w:h="16838"/>
          <w:pgMar w:top="1417" w:right="1417" w:bottom="1417" w:left="1417" w:header="708" w:footer="708" w:gutter="0"/>
          <w:cols w:space="708"/>
          <w:docGrid w:linePitch="360"/>
        </w:sectPr>
      </w:pPr>
    </w:p>
    <w:p w14:paraId="78B457C9" w14:textId="77777777" w:rsidR="00EA4D0C" w:rsidRDefault="00317A76" w:rsidP="00EA4D0C">
      <w:pPr>
        <w:pStyle w:val="Cobra-rubrieken"/>
      </w:pPr>
      <w:r>
        <w:t>Bevoegdheid</w:t>
      </w:r>
    </w:p>
    <w:p w14:paraId="3998AB29" w14:textId="77777777" w:rsidR="00EA4D0C" w:rsidRDefault="00317A76" w:rsidP="00EA4D0C">
      <w:r>
        <w:t>Artikel 40 van het decreet lokaal bestuur.</w:t>
      </w:r>
    </w:p>
    <w:p w14:paraId="30EB2886" w14:textId="77777777" w:rsidR="00EA4D0C" w:rsidRDefault="00317A76" w:rsidP="00EA4D0C">
      <w:pPr>
        <w:pStyle w:val="Cobra-rubrieken"/>
      </w:pPr>
      <w:r>
        <w:t>Wetten en reglementen</w:t>
      </w:r>
    </w:p>
    <w:p w14:paraId="487E7458" w14:textId="77777777" w:rsidR="00EA4D0C" w:rsidRDefault="00317A76" w:rsidP="00EA4D0C">
      <w:r>
        <w:t>Wet van 10 november 2006 betreffende de openingsuren in handel, ambacht en dienstverlening.</w:t>
      </w:r>
    </w:p>
    <w:p w14:paraId="364241BD" w14:textId="77777777" w:rsidR="00EA4D0C" w:rsidRPr="004725AC" w:rsidRDefault="00317A76" w:rsidP="00EA4D0C">
      <w:pPr>
        <w:pStyle w:val="Cobra-rubrieken"/>
      </w:pPr>
      <w:r>
        <w:t>Verwijzingsdocumenten</w:t>
      </w:r>
    </w:p>
    <w:p w14:paraId="26E0CD79" w14:textId="77777777" w:rsidR="00EA4D0C" w:rsidRDefault="00EA4D0C" w:rsidP="00EA4D0C"/>
    <w:p w14:paraId="19375E52" w14:textId="77777777" w:rsidR="00EA4D0C" w:rsidRDefault="00317A76" w:rsidP="00EA4D0C">
      <w:pPr>
        <w:pStyle w:val="Cobra-rubrieken"/>
      </w:pPr>
      <w:r>
        <w:t>Verantwoording</w:t>
      </w:r>
    </w:p>
    <w:p w14:paraId="7C2A2E93" w14:textId="77777777" w:rsidR="00A44C6A" w:rsidRDefault="00317A76" w:rsidP="00A44C6A">
      <w:r>
        <w:t xml:space="preserve">Steden en gemeenten staan in voor de bewaking van de openbare rust, veiligheid en reinheid. Het stadsbestuur Zottegem maakt werk van bestuurlijke handhaving ter preventie en aanpak van overlast en </w:t>
      </w:r>
      <w:r>
        <w:lastRenderedPageBreak/>
        <w:t>ondermijnende criminaliteit. Om dergelijke aanpak te realiseren, dient de stad te beschikken over sluitende regelgeving om inrichtingen die een grotere druk leggen op de openbare rust en veiligheid op ons grondgebied te reglementeren, te controleren of eventueel aan te pakken.</w:t>
      </w:r>
    </w:p>
    <w:p w14:paraId="7949C5D8" w14:textId="77777777" w:rsidR="00A44C6A" w:rsidRDefault="00317A76" w:rsidP="00A44C6A">
      <w:r>
        <w:t>De vestiging en uitbating van bepaalde inrichtingen zoals nachtwinkels en private bureaus voor telecommunicatie (zgn. belwinkels) in zones met een hoge concentratie van huisvesting is niet opportuun omwille van het nachtlawaai en de verstoring van de openbare rust en veiligheid die ze kunnen veroorzaken..</w:t>
      </w:r>
    </w:p>
    <w:p w14:paraId="1E37E6D5" w14:textId="77777777" w:rsidR="00A44C6A" w:rsidRDefault="00317A76" w:rsidP="00A44C6A">
      <w:r>
        <w:t>Het stadsbestuur wenst te vermijden dat nachtwinkels aanleiding zouden kunnen geven tot overlast door ondermeer verkoop van alcohol aan jongeren, alcohol die vervolgens mogelijks wordt geconsumeerd op het openbaar domein. De sterke stijging van het aantal nachtwinkels moet daarenboven door gerichte acties onder controle worden gehouden zodat een verscheiden en kwaliteitsvol aanbod aan handelszaken kan blijven bestaan.</w:t>
      </w:r>
    </w:p>
    <w:p w14:paraId="619F3A7D" w14:textId="77777777" w:rsidR="00145A04" w:rsidRDefault="00317A76" w:rsidP="00145A04">
      <w:r>
        <w:t>De burgemeester en een aantal raadsleden komen tussen.</w:t>
      </w:r>
    </w:p>
    <w:p w14:paraId="3493C7B2" w14:textId="77777777" w:rsidR="00EA4D0C" w:rsidRDefault="00317A76" w:rsidP="00EA4D0C">
      <w:pPr>
        <w:pStyle w:val="Cobra-rubrieken"/>
      </w:pPr>
      <w:r>
        <w:t>Stemmen</w:t>
      </w:r>
    </w:p>
    <w:p w14:paraId="2460BBED" w14:textId="77777777" w:rsidR="001D651B" w:rsidRDefault="001D651B">
      <w:pPr>
        <w:sectPr w:rsidR="001D651B">
          <w:type w:val="continuous"/>
          <w:pgSz w:w="11906" w:h="16838"/>
          <w:pgMar w:top="1417" w:right="1417" w:bottom="1417" w:left="1417" w:header="708" w:footer="708" w:gutter="0"/>
          <w:cols w:space="708"/>
          <w:docGrid w:linePitch="360"/>
        </w:sectPr>
      </w:pPr>
    </w:p>
    <w:p w14:paraId="2E1638C8" w14:textId="77777777" w:rsidR="00963BF0" w:rsidRDefault="00317A76" w:rsidP="00963BF0">
      <w:r>
        <w:t>15 ja-stemmen (Peter Lagaert, Jenne De Potter, Evelien De Both, Leen Goossens, Lieselotte De Roover, Evert De Smet, Brecht Cassiman, Peter Vansintjan, Paul Lievens, Matthias Diependaele, Cyntia Braems, Ann De Smet, Cynthia Van den Steen, Karel Busschop, Samuel Paul)</w:t>
      </w:r>
      <w:r>
        <w:br/>
        <w:t>7 nee-stemmen (Joost Franceus, Nadine Stalpaert, Peter Roman, Kurt De Loor, Louie Van Rijsselberge, Yana Giovanis, Filip Morre)</w:t>
      </w:r>
      <w:r>
        <w:br/>
        <w:t>6 onthoudingen (Heidi Schuddinck, Dirk Minnaert, Lode Bruneel, Sven Mornie, Marnic De Clercq, Benjamin Boone)</w:t>
      </w:r>
    </w:p>
    <w:p w14:paraId="258D27A6" w14:textId="77777777" w:rsidR="001D651B" w:rsidRDefault="001D651B">
      <w:pPr>
        <w:sectPr w:rsidR="001D651B">
          <w:type w:val="continuous"/>
          <w:pgSz w:w="11906" w:h="16838"/>
          <w:pgMar w:top="1417" w:right="1417" w:bottom="1417" w:left="1417" w:header="708" w:footer="708" w:gutter="0"/>
          <w:cols w:space="708"/>
          <w:docGrid w:linePitch="360"/>
        </w:sectPr>
      </w:pPr>
    </w:p>
    <w:p w14:paraId="3336E0B9" w14:textId="77777777" w:rsidR="00EA4D0C" w:rsidRPr="004725AC" w:rsidRDefault="00317A76" w:rsidP="00EA4D0C">
      <w:pPr>
        <w:pStyle w:val="Cobra-rubrieken"/>
      </w:pPr>
      <w:r w:rsidRPr="004725AC">
        <w:t>BESLIST:</w:t>
      </w:r>
    </w:p>
    <w:p w14:paraId="5B57F5BE" w14:textId="77777777" w:rsidR="00EA4D0C" w:rsidRDefault="00317A76" w:rsidP="00EA4D0C">
      <w:r>
        <w:rPr>
          <w:u w:val="single"/>
        </w:rPr>
        <w:t>Artikel 1</w:t>
      </w:r>
      <w:r>
        <w:t>. Begripsomschrijving</w:t>
      </w:r>
    </w:p>
    <w:p w14:paraId="587B6060" w14:textId="77777777" w:rsidR="00EA4D0C" w:rsidRDefault="00317A76" w:rsidP="00EA4D0C">
      <w:r>
        <w:t xml:space="preserve">Voor de toepassing van dit reglement wordt verstaan onder: </w:t>
      </w:r>
      <w:r>
        <w:br/>
      </w:r>
      <w:r>
        <w:rPr>
          <w:rFonts w:ascii="Symbol" w:hAnsi="Symbol"/>
        </w:rPr>
        <w:sym w:font="Symbol" w:char="F0B7"/>
      </w:r>
      <w:r>
        <w:t xml:space="preserve"> </w:t>
      </w:r>
      <w:r w:rsidRPr="0021319B">
        <w:rPr>
          <w:u w:val="single"/>
        </w:rPr>
        <w:t>exploitant</w:t>
      </w:r>
      <w:r>
        <w:t xml:space="preserve">: de natuurlijke persoon of rechtspersoon voor wiens rekening en risico de instelling wordt uitgebaat. </w:t>
      </w:r>
      <w:r>
        <w:br/>
      </w:r>
      <w:r>
        <w:rPr>
          <w:rFonts w:ascii="Symbol" w:hAnsi="Symbol"/>
        </w:rPr>
        <w:sym w:font="Symbol" w:char="F0B7"/>
      </w:r>
      <w:r>
        <w:t xml:space="preserve"> </w:t>
      </w:r>
      <w:r w:rsidRPr="0021319B">
        <w:rPr>
          <w:u w:val="single"/>
        </w:rPr>
        <w:t>aangestelde</w:t>
      </w:r>
      <w:r>
        <w:t xml:space="preserve">: de natuurlijke persoon die de uitbating van de handelszaak ter plaatse waarneemt in opdracht van de exploitant. </w:t>
      </w:r>
      <w:r>
        <w:br/>
      </w:r>
      <w:r>
        <w:rPr>
          <w:rFonts w:ascii="Symbol" w:hAnsi="Symbol"/>
        </w:rPr>
        <w:sym w:font="Symbol" w:char="F0B7"/>
      </w:r>
      <w:r>
        <w:t xml:space="preserve"> </w:t>
      </w:r>
      <w:r w:rsidRPr="0021319B">
        <w:rPr>
          <w:u w:val="single"/>
        </w:rPr>
        <w:t>vestigingseenheid</w:t>
      </w:r>
      <w:r>
        <w:t xml:space="preserve">: een plaats die men geografisch gezien kan identificeren door een adres en die voor de consument toegankelijk is en waar activiteiten waarop de Wet van 10 november 2006 van toepassing is, uitgeoefend worden </w:t>
      </w:r>
      <w:r>
        <w:br/>
      </w:r>
      <w:r>
        <w:rPr>
          <w:rFonts w:ascii="Symbol" w:hAnsi="Symbol"/>
        </w:rPr>
        <w:sym w:font="Symbol" w:char="F0B7"/>
      </w:r>
      <w:r>
        <w:t xml:space="preserve"> </w:t>
      </w:r>
      <w:r w:rsidRPr="0021319B">
        <w:rPr>
          <w:u w:val="single"/>
        </w:rPr>
        <w:t>nachtwinkel</w:t>
      </w:r>
      <w:r>
        <w:t xml:space="preserve">: een vestigingseenheid die: </w:t>
      </w:r>
    </w:p>
    <w:p w14:paraId="102D215D" w14:textId="77777777" w:rsidR="00EA4D0C" w:rsidRDefault="00317A76" w:rsidP="00EA4D0C">
      <w:pPr>
        <w:ind w:left="708"/>
      </w:pPr>
      <w:r>
        <w:t xml:space="preserve">a) ingeschreven is in de KBO (Kruispuntbank van Ondernemingen) uitsluitend onder de rubriek “verkoop van algemene voedingswaren en huishoudelijke artikelen”; </w:t>
      </w:r>
      <w:r>
        <w:br/>
        <w:t xml:space="preserve">b) geen andere handelsactiviteit uitoefent dan die hierboven bedoeld; </w:t>
      </w:r>
      <w:r>
        <w:br/>
        <w:t xml:space="preserve">c) een maximale netto-verkoopsoppervlakte heeft van 150 m²; </w:t>
      </w:r>
      <w:r>
        <w:br/>
        <w:t xml:space="preserve">d) en op een duidelijke en permanente manier de vermelding “Nachtwinkel” draagt. </w:t>
      </w:r>
    </w:p>
    <w:p w14:paraId="2E65A223" w14:textId="77777777" w:rsidR="00EA4D0C" w:rsidRDefault="00317A76" w:rsidP="00EA4D0C">
      <w:r>
        <w:rPr>
          <w:rFonts w:ascii="Symbol" w:hAnsi="Symbol"/>
        </w:rPr>
        <w:lastRenderedPageBreak/>
        <w:sym w:font="Symbol" w:char="F0B7"/>
      </w:r>
      <w:r>
        <w:t xml:space="preserve"> </w:t>
      </w:r>
      <w:r w:rsidRPr="0021319B">
        <w:rPr>
          <w:u w:val="single"/>
        </w:rPr>
        <w:t>privaat bureau voor telecommunicatie</w:t>
      </w:r>
      <w:r>
        <w:t xml:space="preserve">: iedere voor het publiek toegankelijke vestigingseenheid voor het verlenen van telecommunicatiediensten, zoals fax, telefoon, internet en/of fotocopie. </w:t>
      </w:r>
      <w:r>
        <w:br/>
      </w:r>
      <w:r>
        <w:rPr>
          <w:rFonts w:ascii="Symbol" w:hAnsi="Symbol"/>
        </w:rPr>
        <w:sym w:font="Symbol" w:char="F0B7"/>
      </w:r>
      <w:r>
        <w:t xml:space="preserve"> </w:t>
      </w:r>
      <w:r w:rsidRPr="0021319B">
        <w:rPr>
          <w:u w:val="single"/>
        </w:rPr>
        <w:t>uitbatingsvergunning</w:t>
      </w:r>
      <w:r>
        <w:t xml:space="preserve">: vergunning voor het uitbaten van een nachtwinkel, privaat bureau voor telecommunicatie en automatenshops verleend door het college van burgemeester en schepenen nadat voldaan is aan een aantal uitbatingsvoorwaarden. </w:t>
      </w:r>
    </w:p>
    <w:p w14:paraId="0C09D8C8" w14:textId="77777777" w:rsidR="00EA4D0C" w:rsidRDefault="00317A76" w:rsidP="00EA4D0C">
      <w:r w:rsidRPr="00E2468A">
        <w:rPr>
          <w:u w:val="single"/>
        </w:rPr>
        <w:t>Artikel 2</w:t>
      </w:r>
      <w:r>
        <w:t xml:space="preserve">. Uitbatingsvergunning </w:t>
      </w:r>
    </w:p>
    <w:p w14:paraId="70CE2FBE" w14:textId="77777777" w:rsidR="00EA4D0C" w:rsidRDefault="00317A76" w:rsidP="00EA4D0C">
      <w:r>
        <w:t xml:space="preserve">Alle nachtwinkels, privaat bureaus voor telecommunicatie en automatenshops zijn voor deze bestemmingen zowel in het kader van de hoofdactiviteit als in het kader van de nevenactiviteit, verplicht om in het bezit te zijn van een uitbatingsvergunning. </w:t>
      </w:r>
    </w:p>
    <w:p w14:paraId="310A89FB" w14:textId="77777777" w:rsidR="00EA4D0C" w:rsidRDefault="00317A76" w:rsidP="00EA4D0C">
      <w:r>
        <w:t xml:space="preserve">De uitbatingsvergunning wordt afgeleverd door het college van burgemeester en schepenen. De uitbatingsvergunning kan enkel worden toegekend: </w:t>
      </w:r>
      <w:r>
        <w:br/>
        <w:t>- op voorwaarde dat er op de vestigingsplaats, binnen een straal van 250 meter te meten vanaf de toegangsdeur en vermeerderd met een straal van 50 meter per gevestigde belwinkel,</w:t>
      </w:r>
      <w:r w:rsidR="0021319B">
        <w:t xml:space="preserve"> </w:t>
      </w:r>
      <w:r>
        <w:t xml:space="preserve">nachtwinkel, of automatenshop, waarvoor de aanvraag wordt gedaan, geen gelijkaardige inrichting is gevestigd. </w:t>
      </w:r>
      <w:r>
        <w:br/>
        <w:t xml:space="preserve">- na positief advies op een voorafgaandelijk administratief onderzoek. </w:t>
      </w:r>
    </w:p>
    <w:p w14:paraId="7C5C22B2" w14:textId="77777777" w:rsidR="00EA4D0C" w:rsidRDefault="00317A76" w:rsidP="00EA4D0C">
      <w:r>
        <w:t xml:space="preserve">Over de aanvraag van de uitbatingsvergunning wordt beslist met voorrang voor de eerste aanvrager. </w:t>
      </w:r>
    </w:p>
    <w:p w14:paraId="75ABEF90" w14:textId="77777777" w:rsidR="00EA4D0C" w:rsidRDefault="00317A76" w:rsidP="00EA4D0C">
      <w:r>
        <w:t xml:space="preserve">Dit voorafgaandelijk administratief onderzoek omvat: </w:t>
      </w:r>
      <w:r>
        <w:br/>
        <w:t xml:space="preserve">1. een </w:t>
      </w:r>
      <w:r w:rsidRPr="00E2468A">
        <w:rPr>
          <w:u w:val="single"/>
        </w:rPr>
        <w:t>brandveiligheidsonderzoek</w:t>
      </w:r>
      <w:r>
        <w:t xml:space="preserve">: een onderzoek naar de brandveiligheid volgens de vigerende regelgeving. 2. een </w:t>
      </w:r>
      <w:r w:rsidRPr="00E2468A">
        <w:rPr>
          <w:u w:val="single"/>
        </w:rPr>
        <w:t>financieel onderzoek</w:t>
      </w:r>
      <w:r>
        <w:t xml:space="preserve"> : een onderzoek naar de betaling van alle verschuldigde stadsfacturen en aanslagbiljetten, van welke aard ook, die betrekking hebben op de instelling, exploitant en </w:t>
      </w:r>
      <w:r w:rsidR="0021319B">
        <w:t>aangestelde</w:t>
      </w:r>
      <w:r>
        <w:t xml:space="preserve"> </w:t>
      </w:r>
      <w:r>
        <w:br/>
        <w:t xml:space="preserve">3. een </w:t>
      </w:r>
      <w:r w:rsidRPr="003723AC">
        <w:rPr>
          <w:u w:val="single"/>
        </w:rPr>
        <w:t>stedenbouwkundig onderzoek</w:t>
      </w:r>
      <w:r>
        <w:t xml:space="preserve">: een onderzoek naar de conformiteit van de instelling met de geldende stedenbouwkundige bepalingen, zowel op gemeentelijk niveau als op Vlaams en federaal niveau. Zo dient onder meer nagegaan te worden of de geldende regelgeving betreffende stedenbouw gerespecteerd wordt, of de exploitant zijn zaak heeft ingepland overeenkomstig de voorschriften in de stedenbouwkundige verordeningen, de gewestplannen, de plannen van aanleg of de ruimtelijke uitvoeringsplannen. </w:t>
      </w:r>
      <w:r>
        <w:br/>
        <w:t xml:space="preserve">4. een </w:t>
      </w:r>
      <w:r w:rsidRPr="003723AC">
        <w:rPr>
          <w:u w:val="single"/>
        </w:rPr>
        <w:t>moraliteitsonderzoek</w:t>
      </w:r>
      <w:r>
        <w:t xml:space="preserve">: Het onderzoek bestaat uit : </w:t>
      </w:r>
    </w:p>
    <w:p w14:paraId="70EE3608" w14:textId="77777777" w:rsidR="00317A76" w:rsidRDefault="00317A76" w:rsidP="00EA4D0C">
      <w:pPr>
        <w:ind w:left="708"/>
      </w:pPr>
      <w:r>
        <w:t xml:space="preserve">a) een onderzoek naar vaststellingen en/of veroordelingen, al dan niet met uitstel, voor inbreuken op de zedelijkheid voor het exploiteren van een drankgelegenheid zoals bepaald in het KB van 3 april 1953 inzake de slijterijen van gegiste dranken ; </w:t>
      </w:r>
      <w:r>
        <w:br/>
        <w:t>b) een onderzoek naar recente vaststellingen en/of veroordelingen, al dan niet met uitstel,voor inbreuken op de wet op het racisme en/of de xenofobie en/of tegen de drugswetgeving en/of een veroordeling werd opgelopen wegens daden van weerspannigheid ten overstaan van politie of andere overheidsdiensten ;</w:t>
      </w:r>
      <w:r>
        <w:br/>
        <w:t xml:space="preserve">c) onderzoek of er ernstige aanwijzingen zijn van fraude; </w:t>
      </w:r>
      <w:r>
        <w:br/>
      </w:r>
    </w:p>
    <w:p w14:paraId="5CF71966" w14:textId="77777777" w:rsidR="00317A76" w:rsidRDefault="00317A76">
      <w:pPr>
        <w:spacing w:after="160" w:line="259" w:lineRule="auto"/>
      </w:pPr>
      <w:r>
        <w:br w:type="page"/>
      </w:r>
    </w:p>
    <w:p w14:paraId="60124C8A" w14:textId="7D9BCC3C" w:rsidR="00EA4D0C" w:rsidRDefault="00317A76" w:rsidP="00EA4D0C">
      <w:pPr>
        <w:ind w:left="708"/>
      </w:pPr>
      <w:r>
        <w:lastRenderedPageBreak/>
        <w:t xml:space="preserve">d) een onderzoek of er ernstige aanwijzingen voorhanden zijn dat in de private doch voor het publiek toegankelijke plaats, herhaaldelijk illegale activiteiten plaatsvinden die betrekking hebben op de verkoop, de aflevering of het vergemakkelijken van het gebruik van giftstoffen slaapmiddelen, verdovende middelen, psychotrope stoffen, antiseptica of stoffen die gebruikt worden voor de illegale vervaardiging van verdovende middelen en psychotrope stoffen, waardoor de openbare veiligheid en rust in het gedrang komt; </w:t>
      </w:r>
      <w:r>
        <w:br/>
        <w:t xml:space="preserve">e) een onderzoek naar vaststellingen van en veroordelingen voor inbreuken op wettelijke verplichtingen die verband houden met of naar aanleiding van de exploitatie, zoals de niet naleving van vestigingsvoorwaarden, persoonsgebonden beroepsuitoefeningsvoorwaarden (o.m. leeftijd, verblijfskaart, beroepskaart, leurderkaart, arbeidskaart) administratieve verplichtingen t.a.v. de kruispuntbank voor ondernemingen, sociaal- en arbeidsrechtelijke verplichtingen van de personen die op enigerlei wijze deelnemen aan de exploitatie (o.m. aangifte en bijdrageplicht sociale zekerheid), boekhoudkundige en fiscale verplichtingen, vennootschapsrechtelijke verplichtingen, vergunningen, erkenningen en toelatingen met betrekking tot de beroepsuitoefening, de regelgeving met betrekking tot de openingsuren en voedselveiligheid. </w:t>
      </w:r>
    </w:p>
    <w:p w14:paraId="390F3342" w14:textId="77777777" w:rsidR="00EA4D0C" w:rsidRDefault="00317A76" w:rsidP="00EA4D0C">
      <w:pPr>
        <w:ind w:left="708"/>
      </w:pPr>
      <w:r>
        <w:t xml:space="preserve">Het moraliteitsonderzoek wordt, al naargelang het geval, uitgevoerd op de private doch voor het publiek toegankelijke plaats, op de exploitant, op de organen en/of vertegenwoordigers van de exploitant en op de natuurlijke personen die in feite belast zijn met de exploitatie. Deze personen dienen meerderjarig te zijn en een bewijs van goed gedrag en zeden voor te leggen, een uittreksel uit het strafregister van het land van de woonplaats of een hieraan gelijkwaardig document desgevallend behoorlijk beëdigd vertaald. Voor andere personen die in welke hoedanigheid ook deelnemen of zullen deelnemen aan de exploitatie van de instelling, dient de exploitant te verklaren dat niemand van hen valt onder de weigeringsgronden verwoord onder a) t.e.m. d). Alle voormelde personen dienen het bewijs te leveren van hun identiteitsgegevens, met inbegrip van een officiële woonplaats. Het onderzoek wordt verricht door de Politie. Het college van burgemeester en schepenen kan steeds alle nuttige inlichtingen inwinnen bij de politie en beslist discretionair of het resultaat van het moraliteitsonderzoek zwaarwichtig genoeg is om de uitbatingsvergunning al dan niet te weigeren en/of in te trekken waarbij hij steeds het gevaar voor de openbare orde voor ogen zal houden. </w:t>
      </w:r>
    </w:p>
    <w:p w14:paraId="172E3EC0" w14:textId="77777777" w:rsidR="00EA4D0C" w:rsidRDefault="00317A76" w:rsidP="00EA4D0C">
      <w:r>
        <w:t xml:space="preserve">5. een </w:t>
      </w:r>
      <w:r w:rsidRPr="003723AC">
        <w:rPr>
          <w:u w:val="single"/>
        </w:rPr>
        <w:t>onderzoek naar de hygiëne</w:t>
      </w:r>
      <w:r>
        <w:t xml:space="preserve">: de uitbater stelt zich zelf in regel met de voorschriften van het FAVV (Federaal Agentschap voor de Veiligheid van de Voedselketen). Naargelang de activiteiten die hij uitoefent, moet hij aan het college van burgemeester en schepenen al dan niet een afschrift bezorgen van de toelating, de erkenning of de registratie van zijn activiteiten door het Agentschap. </w:t>
      </w:r>
      <w:r>
        <w:br/>
        <w:t>6. een onderzoek naar de v</w:t>
      </w:r>
      <w:r w:rsidRPr="003723AC">
        <w:rPr>
          <w:u w:val="single"/>
        </w:rPr>
        <w:t>estigingsformaliteiten</w:t>
      </w:r>
      <w:r>
        <w:t xml:space="preserve"> als ondernemer: de dienst Lokale Economie doet een onderzoek naar inschrijving in de Kruispuntbank van Ondernemingen, eventuele beroepskaart of enige andere vergunning die wettelijk voorgeschreven is. </w:t>
      </w:r>
      <w:r>
        <w:br/>
        <w:t xml:space="preserve">7. een onderzoek naar de </w:t>
      </w:r>
      <w:r w:rsidRPr="003723AC">
        <w:rPr>
          <w:u w:val="single"/>
        </w:rPr>
        <w:t>kennis van één van de landstalen</w:t>
      </w:r>
      <w:r>
        <w:t xml:space="preserve"> met voorkeur Nederlands voor de persoon of personen (uitbater of aangestelde) die de winkel effectief openhoudt/openhouden; dit met het oog op communicatie met de stedelijke administratie en de veiligheidsdiensten. </w:t>
      </w:r>
    </w:p>
    <w:p w14:paraId="35D9879F" w14:textId="77777777" w:rsidR="00317A76" w:rsidRDefault="00317A76">
      <w:pPr>
        <w:spacing w:after="160" w:line="259" w:lineRule="auto"/>
        <w:rPr>
          <w:u w:val="single"/>
        </w:rPr>
      </w:pPr>
      <w:r>
        <w:rPr>
          <w:u w:val="single"/>
        </w:rPr>
        <w:br w:type="page"/>
      </w:r>
    </w:p>
    <w:p w14:paraId="642A0212" w14:textId="0E9644C9" w:rsidR="00EA4D0C" w:rsidRDefault="00317A76" w:rsidP="00EA4D0C">
      <w:r w:rsidRPr="003723AC">
        <w:rPr>
          <w:u w:val="single"/>
        </w:rPr>
        <w:lastRenderedPageBreak/>
        <w:t>Artikel 3</w:t>
      </w:r>
      <w:r>
        <w:rPr>
          <w:u w:val="single"/>
        </w:rPr>
        <w:t>.</w:t>
      </w:r>
      <w:r>
        <w:t xml:space="preserve"> Sluitingsuren van nachtwinkels </w:t>
      </w:r>
      <w:r>
        <w:br/>
        <w:t xml:space="preserve">§1. In afwijking van artikel 6, c) van de Wet van 10 november 2006 betreffende de openingsuren in handel, ambacht en dienstverlening, wordt de toegang van de consument tot nachtwinkels verboden: vóór 18 uur en na 03h uur </w:t>
      </w:r>
    </w:p>
    <w:p w14:paraId="3A9E60D4" w14:textId="77777777" w:rsidR="00EA4D0C" w:rsidRDefault="00317A76" w:rsidP="00EA4D0C">
      <w:r w:rsidRPr="003723AC">
        <w:rPr>
          <w:u w:val="single"/>
        </w:rPr>
        <w:t xml:space="preserve">Artikel </w:t>
      </w:r>
      <w:r>
        <w:rPr>
          <w:u w:val="single"/>
        </w:rPr>
        <w:t>4.</w:t>
      </w:r>
      <w:r>
        <w:t xml:space="preserve"> Nadere regels en voorschriften </w:t>
      </w:r>
      <w:r>
        <w:br/>
        <w:t xml:space="preserve">1 De vergunningen dienen steeds op eerste vordering van een bevoegd controlerende ambtenaar ter inzage worden afgegeven. </w:t>
      </w:r>
      <w:r>
        <w:br/>
        <w:t xml:space="preserve">2 De uitbatingsvergunning is geldig, te rekenen vanaf de ondertekening door het college van burgemeester en schepenen. </w:t>
      </w:r>
      <w:r>
        <w:br/>
        <w:t xml:space="preserve">3 De exploitant is verplicht alle wijzigingen in de instelling die een verandering uitmaken ten opzichte van de veiligheid, en alle wijzigingen van gegevens opgegeven in de aanvraag, met inbegrip van elke bestemmingswijziging onmiddellijk te melden aan het college van burgemeester en schepenen. </w:t>
      </w:r>
      <w:r>
        <w:br/>
        <w:t xml:space="preserve">4 Het college van burgemeester en schepenen kan beslissen om de uitbatingsvergunning te beperken in de tijd en/of bepaalde voorwaarden te koppelen aan de uitbatingsvergunning. </w:t>
      </w:r>
      <w:r>
        <w:br/>
        <w:t xml:space="preserve">5 De uitbatingsvergunning is een vergunning die wordt afgeleverd aan een exploitant voor een welbepaalde instelling. De vergunning kan dus niet worden overgedragen aan een ander exploitant noch kan zij worden overgedragen naar een andere locatie. </w:t>
      </w:r>
      <w:r>
        <w:br/>
        <w:t xml:space="preserve">6 Dit gemeentelijk reglement en in het bijzonder de uitbatingsvoorwaarden vermeld in art. 2 van dit reglement dient nageleefd te worden zolang de uitbating duurt. </w:t>
      </w:r>
    </w:p>
    <w:p w14:paraId="68F57B42" w14:textId="77777777" w:rsidR="00EA4D0C" w:rsidRDefault="00317A76" w:rsidP="00EA4D0C">
      <w:r w:rsidRPr="003723AC">
        <w:rPr>
          <w:u w:val="single"/>
        </w:rPr>
        <w:t xml:space="preserve">Artikel 5. </w:t>
      </w:r>
      <w:r>
        <w:t xml:space="preserve">Vergunningsaanvraag </w:t>
      </w:r>
      <w:r>
        <w:br/>
        <w:t xml:space="preserve">1. Voor het verkrijgen van een uitbatingsvergunning dient de exploitant een schriftelijke aanvraag in bij het college van burgemeester en schepenen, aan de hand van een daartoe voorzien aanvraagformulier. </w:t>
      </w:r>
      <w:r>
        <w:br/>
        <w:t xml:space="preserve">2. Het college van burgemeester en schepenen kan bepalen dat nader te bepalen documenten overhandigd moeten worden. </w:t>
      </w:r>
    </w:p>
    <w:p w14:paraId="2C866F71" w14:textId="77777777" w:rsidR="00EA4D0C" w:rsidRDefault="00317A76" w:rsidP="00EA4D0C">
      <w:r w:rsidRPr="003723AC">
        <w:rPr>
          <w:u w:val="single"/>
        </w:rPr>
        <w:t xml:space="preserve">Artikel </w:t>
      </w:r>
      <w:r>
        <w:rPr>
          <w:u w:val="single"/>
        </w:rPr>
        <w:t xml:space="preserve">6. </w:t>
      </w:r>
      <w:r>
        <w:t xml:space="preserve">Weigeringsgronden </w:t>
      </w:r>
      <w:r>
        <w:br/>
        <w:t xml:space="preserve">Het college van burgemeester en schepenen weigert de uitbatingsvergunning: </w:t>
      </w:r>
      <w:r>
        <w:br/>
        <w:t xml:space="preserve">• als de openbare orde, de (openbare) veiligheid de openbare rust en/of de openbare gezondheid gevaar loopt; </w:t>
      </w:r>
      <w:r>
        <w:br/>
        <w:t xml:space="preserve">• indien de onderzoeken die voorafgaan aan het verlenen van de uitbatingsvergunning negatief werden geadviseerd. </w:t>
      </w:r>
    </w:p>
    <w:p w14:paraId="3C6DFB12" w14:textId="77777777" w:rsidR="00EA4D0C" w:rsidRDefault="00317A76" w:rsidP="00EA4D0C">
      <w:r w:rsidRPr="003723AC">
        <w:rPr>
          <w:u w:val="single"/>
        </w:rPr>
        <w:t>Artikel 7.</w:t>
      </w:r>
      <w:r>
        <w:t xml:space="preserve"> Uitbatingsvergunning en vestigingsvergunning van rechtswege vervallen </w:t>
      </w:r>
      <w:r>
        <w:br/>
        <w:t xml:space="preserve">De uitbatingsvergunning vervalt van rechtswege: </w:t>
      </w:r>
      <w:r>
        <w:br/>
        <w:t xml:space="preserve">- op het moment dat de exploitatie van de inrichting voor een periode van langer dan zes maanden feitelijk is onderbroken. </w:t>
      </w:r>
      <w:r>
        <w:br/>
        <w:t xml:space="preserve">- in geval van faillissement </w:t>
      </w:r>
      <w:r>
        <w:br/>
        <w:t xml:space="preserve">- in geval van veroordeling tot gerechtelijke verzegeling </w:t>
      </w:r>
      <w:r>
        <w:br/>
        <w:t xml:space="preserve">- in geval van ontbinding van de rechtspersoon </w:t>
      </w:r>
      <w:r>
        <w:br/>
        <w:t xml:space="preserve">- in geval van schrapping van de exploitant of van de betrokken vestiging uit de kruispuntbank voor ondernemingen </w:t>
      </w:r>
    </w:p>
    <w:p w14:paraId="6245C425" w14:textId="77777777" w:rsidR="00EA4D0C" w:rsidRDefault="00317A76" w:rsidP="00EA4D0C">
      <w:r w:rsidRPr="00D3496C">
        <w:rPr>
          <w:u w:val="single"/>
        </w:rPr>
        <w:lastRenderedPageBreak/>
        <w:t>Artikel 8.</w:t>
      </w:r>
      <w:r>
        <w:t xml:space="preserve"> Administratieve sancties en maatregelen </w:t>
      </w:r>
      <w:r>
        <w:br/>
        <w:t xml:space="preserve">Elke overtreding van dit politiereglement, wordt bestraft met: </w:t>
      </w:r>
      <w:r>
        <w:br/>
        <w:t xml:space="preserve">- een administratieve geldboete tot 250 EUR en/of </w:t>
      </w:r>
      <w:r>
        <w:br/>
        <w:t xml:space="preserve">- een administratieve schorsing of intrekking van een afgeleverde toelating of vergunning en/of </w:t>
      </w:r>
      <w:r>
        <w:br/>
        <w:t xml:space="preserve">- een tijdelijke of definitieve administratieve sluiting van een instelling </w:t>
      </w:r>
      <w:r>
        <w:br/>
        <w:t xml:space="preserve">Meer bepaald kan het college van burgemeester en schepenen de uitbatingsvergunning tijdelijk of definitief intrekken, de instelling tijdelijk of definitief sluiten: </w:t>
      </w:r>
      <w:r>
        <w:br/>
        <w:t xml:space="preserve">a) indien de exploitatie van een inrichting aanleiding geeft tot geluidshinder wat zal blijken uit een door de politie samengesteld dossier </w:t>
      </w:r>
      <w:r>
        <w:br/>
        <w:t xml:space="preserve">b) indien de exploitatie van een inrichting aanleiding geeft tot enige andere vorm van overlast, van aard om de openbare orde te verstoren wat zal blijken uit een door de politie samengesteld dossier </w:t>
      </w:r>
      <w:r>
        <w:br/>
        <w:t xml:space="preserve">c) indien geen opgave werd gedaan van gegevens of opgave werd gedaan van onjuiste gegevens in de vergunningsaanvraag of bij wijzigingen van de opgegeven gegevens waardoor de veiligheid in het gedrang kan komen </w:t>
      </w:r>
      <w:r>
        <w:br/>
      </w:r>
      <w:r w:rsidRPr="00EA4D0C">
        <w:t xml:space="preserve">d) in geval van verschillende en/of herhaalde vaststellingen waaruit blijkt dat niet meer voldaan is aan de voorwaarden vermeld in artikel 2 </w:t>
      </w:r>
      <w:r>
        <w:br/>
      </w:r>
      <w:r w:rsidRPr="00EA4D0C">
        <w:t>In alle gevallen waarbij een administratieve sanctie van schorsing of intrekking van de vergunning werd opgelegd kan het college van burgemeester en schepenen bijkomende voorwaarden opleggen vooraleer</w:t>
      </w:r>
      <w:r>
        <w:t xml:space="preserve"> over te gaan tot het verlenen van een uitbatingsvergunning. Onverminderd het voorgaande, kan de politie bij vaststelling van uitbating zonder uitbatingsvergunning de inrichting onmiddellijk en ter plaatse sluiten. </w:t>
      </w:r>
    </w:p>
    <w:p w14:paraId="29829AC8" w14:textId="77777777" w:rsidR="00EA4D0C" w:rsidRDefault="00317A76" w:rsidP="00EA4D0C">
      <w:r w:rsidRPr="00D3496C">
        <w:rPr>
          <w:u w:val="single"/>
        </w:rPr>
        <w:t>Artikel 9.</w:t>
      </w:r>
      <w:r>
        <w:t xml:space="preserve"> Toepassingsgebied </w:t>
      </w:r>
      <w:r>
        <w:br/>
        <w:t xml:space="preserve">De uitbatingsvergunning wordt verleend voor een termijn van maximum 3 jaar. Uiterlijk 6 maanden voor het verstrijken van voormelde termijn moet de exploitant schriftelijk een aanvraag indienen bij het college van burgemeester en schepenen tot hernieuwing van de uitbatingsvergunning. </w:t>
      </w:r>
      <w:r>
        <w:br/>
        <w:t xml:space="preserve">De exploitant die nalaat binnen de voormelde termijn een hernieuwing van de uitbatingsvergunning aan te vragen, verliest zijn uitbatingsvergunning op de vervaldag van de duurtijd. </w:t>
      </w:r>
      <w:r>
        <w:br/>
        <w:t xml:space="preserve">De aanvraag tot hernieuwing van de uitbatingsvergunning geldt als voorlopige vergunning tot de definitieve inwilliging of weigering wordt verleend. Het college van burgemeester en schepenen kan de duurtijd van de vergunning beperken tot minder dan 3 jaar. In voorkomend geval moet de duurtijd minstens 1 jaar bedragen. </w:t>
      </w:r>
      <w:r>
        <w:br/>
        <w:t>De uitbatingsvergunning is geldig, te rekenen vanaf de datum van ondertekening door het college van burgemeester en schepenen.</w:t>
      </w:r>
    </w:p>
    <w:p w14:paraId="1278AE3F" w14:textId="77777777" w:rsidR="00EA4D0C" w:rsidRPr="008545F5" w:rsidRDefault="00317A76" w:rsidP="00EA4D0C">
      <w:r w:rsidRPr="00D3496C">
        <w:rPr>
          <w:u w:val="single"/>
        </w:rPr>
        <w:t>Artikel 10.</w:t>
      </w:r>
      <w:r>
        <w:t xml:space="preserve"> Overgangsbepalingen </w:t>
      </w:r>
      <w:r>
        <w:br/>
        <w:t>Dit reglement treedt in werking op 1 januari 2022. Bij wijze van overgangsmaatregel moeten de instellingen die niet beschikken over een geldige uitbatingsvergunning op datum van inwerkingtreding van dit reglement hun aanvraag tot de uitbatingsvergunning indienen 6 maanden na de inwerkingtreding van dit reglement. Bij hernieuwing van de vergunning is dit reglement van toepassing.</w:t>
      </w:r>
    </w:p>
    <w:p w14:paraId="3AC15438" w14:textId="77777777" w:rsidR="004725AC" w:rsidRPr="00EA4D0C" w:rsidRDefault="00317A76" w:rsidP="00EA4D0C">
      <w:r>
        <w:t>Voor bestaande nachtwinkels is de voorwaarde uit artikel 2 dat er geen gelijkaardige inrichting kan zijn gevestigd binnen een straal van 250 meter vanaf de toegangsdeur en vermeerderd met een straal van 50 meter per gevestigde nachtwinkel, niet van toepassing.</w:t>
      </w:r>
    </w:p>
    <w:p w14:paraId="25C8BE10" w14:textId="77777777" w:rsidR="001D651B" w:rsidRDefault="001D651B">
      <w:pPr>
        <w:sectPr w:rsidR="001D651B">
          <w:type w:val="continuous"/>
          <w:pgSz w:w="11906" w:h="16838"/>
          <w:pgMar w:top="1417" w:right="1417" w:bottom="1417" w:left="1417" w:header="708" w:footer="708" w:gutter="0"/>
          <w:cols w:space="708"/>
          <w:docGrid w:linePitch="360"/>
        </w:sectPr>
      </w:pPr>
    </w:p>
    <w:p w14:paraId="21303DDC" w14:textId="77777777" w:rsidR="00984BB2" w:rsidRDefault="00984BB2" w:rsidP="00984BB2">
      <w:pPr>
        <w:rPr>
          <w:u w:val="single"/>
        </w:rPr>
      </w:pPr>
    </w:p>
    <w:p w14:paraId="52C1F6CA" w14:textId="77777777" w:rsidR="00984BB2" w:rsidRDefault="00317A76" w:rsidP="00984BB2">
      <w:r>
        <w:t>De Gemeenteraad</w:t>
      </w:r>
    </w:p>
    <w:p w14:paraId="7625835D" w14:textId="77777777" w:rsidR="00984BB2" w:rsidRDefault="00984BB2" w:rsidP="00984BB2"/>
    <w:p w14:paraId="182D7AC7" w14:textId="77777777" w:rsidR="00984BB2" w:rsidRPr="0095416B" w:rsidRDefault="00317A76" w:rsidP="00B06001">
      <w:pPr>
        <w:tabs>
          <w:tab w:val="left" w:pos="6096"/>
        </w:tabs>
        <w:spacing w:after="0"/>
        <w:rPr>
          <w:rStyle w:val="Cobra-rubriekenChar"/>
        </w:rPr>
      </w:pPr>
      <w:r w:rsidRPr="0095416B">
        <w:rPr>
          <w:rStyle w:val="Cobra-rubriekenChar"/>
        </w:rPr>
        <w:t xml:space="preserve">getekend </w:t>
      </w:r>
      <w:r w:rsidR="00B06001">
        <w:rPr>
          <w:rStyle w:val="Cobra-rubriekenChar"/>
        </w:rPr>
        <w:t>Koen Codron</w:t>
      </w:r>
      <w:r>
        <w:tab/>
      </w:r>
      <w:r w:rsidRPr="0095416B">
        <w:rPr>
          <w:rStyle w:val="Cobra-rubriekenChar"/>
        </w:rPr>
        <w:t xml:space="preserve">getekend </w:t>
      </w:r>
      <w:r w:rsidR="00932D3C">
        <w:rPr>
          <w:rStyle w:val="Cobra-rubriekenChar"/>
        </w:rPr>
        <w:t>Peter Lagaert</w:t>
      </w:r>
    </w:p>
    <w:p w14:paraId="23CBDEAA" w14:textId="77777777" w:rsidR="00984BB2" w:rsidRDefault="00B06001" w:rsidP="00B06001">
      <w:pPr>
        <w:tabs>
          <w:tab w:val="left" w:pos="6096"/>
        </w:tabs>
        <w:rPr>
          <w:noProof/>
        </w:rPr>
      </w:pPr>
      <w:r>
        <w:rPr>
          <w:noProof/>
        </w:rPr>
        <w:t>algemeen directeur</w:t>
      </w:r>
      <w:r w:rsidR="00317A76">
        <w:tab/>
      </w:r>
      <w:r w:rsidR="00892CDD">
        <w:t>voorzitter</w:t>
      </w:r>
    </w:p>
    <w:p w14:paraId="5F29E657" w14:textId="77777777" w:rsidR="00984BB2" w:rsidRDefault="00984BB2" w:rsidP="00984BB2">
      <w:pPr>
        <w:tabs>
          <w:tab w:val="left" w:pos="6237"/>
        </w:tabs>
      </w:pPr>
    </w:p>
    <w:p w14:paraId="6576757D" w14:textId="5B9D4758" w:rsidR="00984BB2" w:rsidRDefault="00317A76" w:rsidP="00984BB2">
      <w:pPr>
        <w:tabs>
          <w:tab w:val="left" w:pos="6237"/>
        </w:tabs>
      </w:pPr>
      <w:r>
        <w:t xml:space="preserve">Voor eensluidend afschrift op </w:t>
      </w:r>
      <w:r>
        <w:fldChar w:fldCharType="begin"/>
      </w:r>
      <w:r>
        <w:instrText xml:space="preserve"> DATE  \@ "d MMMM yyyy"  \* MERGEFORMAT </w:instrText>
      </w:r>
      <w:r>
        <w:fldChar w:fldCharType="separate"/>
      </w:r>
      <w:r w:rsidR="00461EFC">
        <w:rPr>
          <w:noProof/>
        </w:rPr>
        <w:t>5 december 2023</w:t>
      </w:r>
      <w:r>
        <w:fldChar w:fldCharType="end"/>
      </w:r>
    </w:p>
    <w:p w14:paraId="0C862D1B" w14:textId="77777777" w:rsidR="00984BB2" w:rsidRDefault="00984BB2" w:rsidP="00984BB2">
      <w:pPr>
        <w:tabs>
          <w:tab w:val="left" w:pos="6237"/>
        </w:tabs>
      </w:pPr>
    </w:p>
    <w:p w14:paraId="127D1F7B" w14:textId="77777777" w:rsidR="00984BB2" w:rsidRPr="0095416B" w:rsidRDefault="00317A76" w:rsidP="00984BB2">
      <w:pPr>
        <w:tabs>
          <w:tab w:val="left" w:pos="6237"/>
        </w:tabs>
        <w:spacing w:after="0"/>
        <w:rPr>
          <w:rStyle w:val="Cobra-rubriekenChar"/>
        </w:rPr>
      </w:pPr>
      <w:r>
        <w:rPr>
          <w:rStyle w:val="Cobra-rubriekenChar"/>
        </w:rPr>
        <w:t>Koen Codron</w:t>
      </w:r>
      <w:r>
        <w:tab/>
      </w:r>
      <w:r w:rsidR="00892CDD">
        <w:rPr>
          <w:rStyle w:val="Cobra-rubriekenChar"/>
        </w:rPr>
        <w:t>Peter Lagaert</w:t>
      </w:r>
    </w:p>
    <w:p w14:paraId="652D6DC6" w14:textId="77777777" w:rsidR="002E4579" w:rsidRPr="002E4579" w:rsidRDefault="00317A76" w:rsidP="008B0F00">
      <w:pPr>
        <w:tabs>
          <w:tab w:val="left" w:pos="6237"/>
        </w:tabs>
      </w:pPr>
      <w:r>
        <w:t>algemeen directeur</w:t>
      </w:r>
      <w:r w:rsidR="00892CDD">
        <w:tab/>
      </w:r>
      <w:r w:rsidR="00984BB2">
        <w:t>voorzitter</w:t>
      </w:r>
    </w:p>
    <w:sectPr w:rsidR="002E4579" w:rsidRPr="002E4579">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ind Light">
    <w:panose1 w:val="02000000000000000000"/>
    <w:charset w:val="00"/>
    <w:family w:val="auto"/>
    <w:pitch w:val="variable"/>
    <w:sig w:usb0="00008007" w:usb1="00000000" w:usb2="00000000" w:usb3="00000000" w:csb0="00000093" w:csb1="00000000"/>
  </w:font>
  <w:font w:name="Hind Medium">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Hind">
    <w:panose1 w:val="020000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23AB0"/>
    <w:multiLevelType w:val="hybridMultilevel"/>
    <w:tmpl w:val="0A8C114C"/>
    <w:lvl w:ilvl="0" w:tplc="3C0C20D6">
      <w:start w:val="1"/>
      <w:numFmt w:val="bullet"/>
      <w:pStyle w:val="Cobra-opsomming"/>
      <w:lvlText w:val=""/>
      <w:lvlJc w:val="left"/>
      <w:pPr>
        <w:ind w:left="1077" w:hanging="360"/>
      </w:pPr>
      <w:rPr>
        <w:rFonts w:ascii="Wingdings" w:hAnsi="Wingdings" w:hint="default"/>
      </w:rPr>
    </w:lvl>
    <w:lvl w:ilvl="1" w:tplc="08130003" w:tentative="1">
      <w:start w:val="1"/>
      <w:numFmt w:val="bullet"/>
      <w:lvlText w:val="o"/>
      <w:lvlJc w:val="left"/>
      <w:pPr>
        <w:ind w:left="1797" w:hanging="360"/>
      </w:pPr>
      <w:rPr>
        <w:rFonts w:ascii="Courier New" w:hAnsi="Courier New" w:cs="Courier New" w:hint="default"/>
      </w:rPr>
    </w:lvl>
    <w:lvl w:ilvl="2" w:tplc="08130005" w:tentative="1">
      <w:start w:val="1"/>
      <w:numFmt w:val="bullet"/>
      <w:lvlText w:val=""/>
      <w:lvlJc w:val="left"/>
      <w:pPr>
        <w:ind w:left="2517" w:hanging="360"/>
      </w:pPr>
      <w:rPr>
        <w:rFonts w:ascii="Wingdings" w:hAnsi="Wingdings" w:hint="default"/>
      </w:rPr>
    </w:lvl>
    <w:lvl w:ilvl="3" w:tplc="08130001" w:tentative="1">
      <w:start w:val="1"/>
      <w:numFmt w:val="bullet"/>
      <w:lvlText w:val=""/>
      <w:lvlJc w:val="left"/>
      <w:pPr>
        <w:ind w:left="3237" w:hanging="360"/>
      </w:pPr>
      <w:rPr>
        <w:rFonts w:ascii="Symbol" w:hAnsi="Symbol" w:hint="default"/>
      </w:rPr>
    </w:lvl>
    <w:lvl w:ilvl="4" w:tplc="08130003" w:tentative="1">
      <w:start w:val="1"/>
      <w:numFmt w:val="bullet"/>
      <w:lvlText w:val="o"/>
      <w:lvlJc w:val="left"/>
      <w:pPr>
        <w:ind w:left="3957" w:hanging="360"/>
      </w:pPr>
      <w:rPr>
        <w:rFonts w:ascii="Courier New" w:hAnsi="Courier New" w:cs="Courier New" w:hint="default"/>
      </w:rPr>
    </w:lvl>
    <w:lvl w:ilvl="5" w:tplc="08130005" w:tentative="1">
      <w:start w:val="1"/>
      <w:numFmt w:val="bullet"/>
      <w:lvlText w:val=""/>
      <w:lvlJc w:val="left"/>
      <w:pPr>
        <w:ind w:left="4677" w:hanging="360"/>
      </w:pPr>
      <w:rPr>
        <w:rFonts w:ascii="Wingdings" w:hAnsi="Wingdings" w:hint="default"/>
      </w:rPr>
    </w:lvl>
    <w:lvl w:ilvl="6" w:tplc="08130001" w:tentative="1">
      <w:start w:val="1"/>
      <w:numFmt w:val="bullet"/>
      <w:lvlText w:val=""/>
      <w:lvlJc w:val="left"/>
      <w:pPr>
        <w:ind w:left="5397" w:hanging="360"/>
      </w:pPr>
      <w:rPr>
        <w:rFonts w:ascii="Symbol" w:hAnsi="Symbol" w:hint="default"/>
      </w:rPr>
    </w:lvl>
    <w:lvl w:ilvl="7" w:tplc="08130003" w:tentative="1">
      <w:start w:val="1"/>
      <w:numFmt w:val="bullet"/>
      <w:lvlText w:val="o"/>
      <w:lvlJc w:val="left"/>
      <w:pPr>
        <w:ind w:left="6117" w:hanging="360"/>
      </w:pPr>
      <w:rPr>
        <w:rFonts w:ascii="Courier New" w:hAnsi="Courier New" w:cs="Courier New" w:hint="default"/>
      </w:rPr>
    </w:lvl>
    <w:lvl w:ilvl="8" w:tplc="08130005" w:tentative="1">
      <w:start w:val="1"/>
      <w:numFmt w:val="bullet"/>
      <w:lvlText w:val=""/>
      <w:lvlJc w:val="left"/>
      <w:pPr>
        <w:ind w:left="6837" w:hanging="360"/>
      </w:pPr>
      <w:rPr>
        <w:rFonts w:ascii="Wingdings" w:hAnsi="Wingdings" w:hint="default"/>
      </w:rPr>
    </w:lvl>
  </w:abstractNum>
  <w:num w:numId="1" w16cid:durableId="185980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linkStyl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32"/>
    <w:rsid w:val="00097465"/>
    <w:rsid w:val="0014584B"/>
    <w:rsid w:val="00145A04"/>
    <w:rsid w:val="00174932"/>
    <w:rsid w:val="001D651B"/>
    <w:rsid w:val="0021319B"/>
    <w:rsid w:val="00295A95"/>
    <w:rsid w:val="002E4579"/>
    <w:rsid w:val="00317A76"/>
    <w:rsid w:val="003274E5"/>
    <w:rsid w:val="003723AC"/>
    <w:rsid w:val="00421BE4"/>
    <w:rsid w:val="00461EFC"/>
    <w:rsid w:val="004725AC"/>
    <w:rsid w:val="00526BA6"/>
    <w:rsid w:val="00564C30"/>
    <w:rsid w:val="00626EC4"/>
    <w:rsid w:val="006E07C3"/>
    <w:rsid w:val="007B05B2"/>
    <w:rsid w:val="008545F5"/>
    <w:rsid w:val="00856800"/>
    <w:rsid w:val="00892CDD"/>
    <w:rsid w:val="008B0F00"/>
    <w:rsid w:val="00910083"/>
    <w:rsid w:val="00932D3C"/>
    <w:rsid w:val="0095416B"/>
    <w:rsid w:val="00963BF0"/>
    <w:rsid w:val="00984BB2"/>
    <w:rsid w:val="009C7194"/>
    <w:rsid w:val="00A44C6A"/>
    <w:rsid w:val="00B06001"/>
    <w:rsid w:val="00D3496C"/>
    <w:rsid w:val="00E2468A"/>
    <w:rsid w:val="00E54509"/>
    <w:rsid w:val="00E6621A"/>
    <w:rsid w:val="00EA4D0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8239C"/>
  <w15:docId w15:val="{5F9DE332-0F8A-40B6-8DDB-EF868F629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Unresolved Mention" w:semiHidden="1" w:unhideWhenUsed="1"/>
    <w:lsdException w:name="Smart Link" w:semiHidden="1" w:unhideWhenUsed="1"/>
  </w:latentStyles>
  <w:style w:type="paragraph" w:default="1" w:styleId="Standaard">
    <w:name w:val="Normal"/>
    <w:qFormat/>
    <w:rsid w:val="00461EFC"/>
    <w:pPr>
      <w:spacing w:after="240" w:line="240" w:lineRule="auto"/>
    </w:pPr>
    <w:rPr>
      <w:rFonts w:ascii="Hind Light" w:hAnsi="Hind Light"/>
      <w:sz w:val="20"/>
    </w:rPr>
  </w:style>
  <w:style w:type="character" w:default="1" w:styleId="Standaardalinea-lettertype">
    <w:name w:val="Default Paragraph Font"/>
    <w:uiPriority w:val="1"/>
    <w:semiHidden/>
    <w:unhideWhenUsed/>
    <w:rsid w:val="00461EFC"/>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461EFC"/>
  </w:style>
  <w:style w:type="paragraph" w:customStyle="1" w:styleId="Cobra-rubrieken">
    <w:name w:val="Cobra-rubrieken"/>
    <w:basedOn w:val="Standaard"/>
    <w:next w:val="Standaard"/>
    <w:link w:val="Cobra-rubriekenChar"/>
    <w:qFormat/>
    <w:rsid w:val="00461EFC"/>
    <w:pPr>
      <w:spacing w:after="0"/>
    </w:pPr>
    <w:rPr>
      <w:rFonts w:ascii="Hind Medium" w:hAnsi="Hind Medium"/>
      <w:b/>
    </w:rPr>
  </w:style>
  <w:style w:type="paragraph" w:customStyle="1" w:styleId="Cobra-opsomming">
    <w:name w:val="Cobra-opsomming"/>
    <w:basedOn w:val="Standaard"/>
    <w:link w:val="Cobra-opsommingChar"/>
    <w:qFormat/>
    <w:rsid w:val="00461EFC"/>
    <w:pPr>
      <w:numPr>
        <w:numId w:val="1"/>
      </w:numPr>
      <w:spacing w:after="120"/>
      <w:ind w:left="714" w:hanging="357"/>
    </w:pPr>
  </w:style>
  <w:style w:type="character" w:customStyle="1" w:styleId="Cobra-rubriekenChar">
    <w:name w:val="Cobra-rubrieken Char"/>
    <w:basedOn w:val="Standaardalinea-lettertype"/>
    <w:link w:val="Cobra-rubrieken"/>
    <w:rsid w:val="00461EFC"/>
    <w:rPr>
      <w:rFonts w:ascii="Hind Medium" w:hAnsi="Hind Medium"/>
      <w:b/>
      <w:sz w:val="20"/>
    </w:rPr>
  </w:style>
  <w:style w:type="paragraph" w:customStyle="1" w:styleId="Cobra-subtitel">
    <w:name w:val="Cobra-subtitel"/>
    <w:basedOn w:val="Standaard"/>
    <w:next w:val="Standaard"/>
    <w:link w:val="Cobra-subtitelChar"/>
    <w:qFormat/>
    <w:rsid w:val="00461EFC"/>
    <w:rPr>
      <w:rFonts w:ascii="Hind Semibold" w:hAnsi="Hind Semibold"/>
      <w:b/>
    </w:rPr>
  </w:style>
  <w:style w:type="character" w:customStyle="1" w:styleId="Cobra-opsommingChar">
    <w:name w:val="Cobra-opsomming Char"/>
    <w:basedOn w:val="Standaardalinea-lettertype"/>
    <w:link w:val="Cobra-opsomming"/>
    <w:rsid w:val="00461EFC"/>
    <w:rPr>
      <w:rFonts w:ascii="Hind Light" w:hAnsi="Hind Light"/>
      <w:sz w:val="20"/>
    </w:rPr>
  </w:style>
  <w:style w:type="character" w:customStyle="1" w:styleId="Cobra-subtitelChar">
    <w:name w:val="Cobra-subtitel Char"/>
    <w:basedOn w:val="Standaardalinea-lettertype"/>
    <w:link w:val="Cobra-subtitel"/>
    <w:rsid w:val="00461EFC"/>
    <w:rPr>
      <w:rFonts w:ascii="Hind Semibold" w:hAnsi="Hind Semibold"/>
      <w:b/>
      <w:sz w:val="20"/>
    </w:rPr>
  </w:style>
  <w:style w:type="table" w:styleId="Tabelraster">
    <w:name w:val="Table Grid"/>
    <w:basedOn w:val="Standaardtabel"/>
    <w:uiPriority w:val="39"/>
    <w:rsid w:val="00984BB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Standaard"/>
    <w:next w:val="Standaard"/>
    <w:uiPriority w:val="99"/>
    <w:rsid w:val="00984BB2"/>
    <w:pPr>
      <w:autoSpaceDE w:val="0"/>
      <w:autoSpaceDN w:val="0"/>
      <w:adjustRightInd w:val="0"/>
      <w:spacing w:after="0" w:line="201" w:lineRule="atLeast"/>
    </w:pPr>
    <w:rPr>
      <w:rFonts w:ascii="Hind Medium" w:hAnsi="Hind Medium" w:cs="Times New Roman"/>
      <w:sz w:val="24"/>
      <w:szCs w:val="24"/>
    </w:rPr>
  </w:style>
  <w:style w:type="paragraph" w:styleId="Ballontekst">
    <w:name w:val="Balloon Text"/>
    <w:basedOn w:val="Standaard"/>
    <w:link w:val="BallontekstChar"/>
    <w:uiPriority w:val="99"/>
    <w:semiHidden/>
    <w:unhideWhenUsed/>
    <w:rsid w:val="008B0F00"/>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B0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rvfile\data\Sjablonen\Cobra.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Cobra.dotx</Template>
  <TotalTime>4</TotalTime>
  <Pages>7</Pages>
  <Words>2512</Words>
  <Characters>13820</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Helpdesk Zottegem</dc:creator>
  <cp:lastModifiedBy>Dimitri Keereman</cp:lastModifiedBy>
  <cp:revision>2</cp:revision>
  <dcterms:created xsi:type="dcterms:W3CDTF">2023-12-05T09:43:00Z</dcterms:created>
  <dcterms:modified xsi:type="dcterms:W3CDTF">2023-12-05T09:43:00Z</dcterms:modified>
</cp:coreProperties>
</file>